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FF" w:rsidRDefault="00454851">
      <w:r>
        <w:rPr>
          <w:noProof/>
        </w:rPr>
        <w:drawing>
          <wp:inline distT="0" distB="0" distL="0" distR="0" wp14:anchorId="24923715" wp14:editId="657F5FBE">
            <wp:extent cx="5947576" cy="2663687"/>
            <wp:effectExtent l="0" t="0" r="15240" b="228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2749A" w:rsidRDefault="0012749A"/>
    <w:p w:rsidR="0012749A" w:rsidRDefault="00454851">
      <w:r>
        <w:t>Figure 1.  Narrative performance in English (L2) by Spanish-English bilingual children.  Note:  LI = Language Impairment.  TD = Typical Development.</w:t>
      </w:r>
    </w:p>
    <w:p w:rsidR="00454851" w:rsidRDefault="00454851"/>
    <w:p w:rsidR="0012749A" w:rsidRDefault="0012749A"/>
    <w:p w:rsidR="0012749A" w:rsidRPr="006D7BC0" w:rsidRDefault="0012749A" w:rsidP="00890743">
      <w:pPr>
        <w:autoSpaceDE w:val="0"/>
        <w:autoSpaceDN w:val="0"/>
        <w:adjustRightInd w:val="0"/>
        <w:jc w:val="center"/>
        <w:rPr>
          <w:b/>
          <w:color w:val="231F20"/>
        </w:rPr>
      </w:pPr>
      <w:bookmarkStart w:id="0" w:name="_GoBack"/>
      <w:bookmarkEnd w:id="0"/>
      <w:r w:rsidRPr="006D7BC0">
        <w:rPr>
          <w:b/>
          <w:color w:val="231F20"/>
        </w:rPr>
        <w:t>References</w:t>
      </w:r>
    </w:p>
    <w:p w:rsidR="0012749A" w:rsidRDefault="0012749A" w:rsidP="0012749A">
      <w:pPr>
        <w:autoSpaceDE w:val="0"/>
        <w:autoSpaceDN w:val="0"/>
        <w:adjustRightInd w:val="0"/>
        <w:rPr>
          <w:i/>
          <w:color w:val="231F20"/>
        </w:rPr>
      </w:pPr>
      <w:r>
        <w:rPr>
          <w:color w:val="231F20"/>
        </w:rPr>
        <w:t xml:space="preserve">Berman, R. A. &amp; </w:t>
      </w:r>
      <w:proofErr w:type="spellStart"/>
      <w:r>
        <w:rPr>
          <w:color w:val="231F20"/>
        </w:rPr>
        <w:t>Slobin</w:t>
      </w:r>
      <w:proofErr w:type="spellEnd"/>
      <w:r>
        <w:rPr>
          <w:color w:val="231F20"/>
        </w:rPr>
        <w:t xml:space="preserve">, D. I. (1994).  </w:t>
      </w:r>
      <w:r w:rsidRPr="006D7BC0">
        <w:rPr>
          <w:i/>
          <w:color w:val="231F20"/>
        </w:rPr>
        <w:t xml:space="preserve">Relating events in narrative:  A </w:t>
      </w:r>
      <w:proofErr w:type="spellStart"/>
      <w:r w:rsidRPr="006D7BC0">
        <w:rPr>
          <w:i/>
          <w:color w:val="231F20"/>
        </w:rPr>
        <w:t>crosslinguistic</w:t>
      </w:r>
      <w:proofErr w:type="spellEnd"/>
      <w:r w:rsidRPr="006D7BC0">
        <w:rPr>
          <w:i/>
          <w:color w:val="231F20"/>
        </w:rPr>
        <w:t xml:space="preserve"> </w:t>
      </w:r>
    </w:p>
    <w:p w:rsidR="0012749A" w:rsidRDefault="0012749A" w:rsidP="0012749A">
      <w:pPr>
        <w:autoSpaceDE w:val="0"/>
        <w:autoSpaceDN w:val="0"/>
        <w:adjustRightInd w:val="0"/>
        <w:rPr>
          <w:color w:val="231F20"/>
        </w:rPr>
      </w:pPr>
      <w:r>
        <w:rPr>
          <w:i/>
          <w:color w:val="231F20"/>
        </w:rPr>
        <w:tab/>
      </w:r>
      <w:r w:rsidRPr="006D7BC0">
        <w:rPr>
          <w:i/>
          <w:color w:val="231F20"/>
        </w:rPr>
        <w:t>developmental study</w:t>
      </w:r>
      <w:r>
        <w:rPr>
          <w:color w:val="231F20"/>
        </w:rPr>
        <w:t>.  Hillsdale, NJ:  Lawrence Erlbaum.</w:t>
      </w:r>
    </w:p>
    <w:p w:rsidR="0012749A" w:rsidRDefault="0012749A" w:rsidP="0012749A">
      <w:pPr>
        <w:autoSpaceDE w:val="0"/>
        <w:autoSpaceDN w:val="0"/>
        <w:adjustRightInd w:val="0"/>
        <w:rPr>
          <w:color w:val="231F20"/>
        </w:rPr>
      </w:pPr>
      <w:proofErr w:type="spellStart"/>
      <w:r>
        <w:rPr>
          <w:color w:val="231F20"/>
        </w:rPr>
        <w:t>Gillam</w:t>
      </w:r>
      <w:proofErr w:type="spellEnd"/>
      <w:r>
        <w:rPr>
          <w:color w:val="231F20"/>
        </w:rPr>
        <w:t xml:space="preserve">, R. B. &amp; Pearson, N. (2004).  </w:t>
      </w:r>
      <w:r w:rsidRPr="006D7BC0">
        <w:rPr>
          <w:i/>
          <w:color w:val="231F20"/>
        </w:rPr>
        <w:t>Test of narrative language.</w:t>
      </w:r>
      <w:r>
        <w:rPr>
          <w:color w:val="231F20"/>
        </w:rPr>
        <w:t xml:space="preserve">  Austin, TX:  PRO-ED Inc.</w:t>
      </w:r>
    </w:p>
    <w:p w:rsidR="0012749A" w:rsidRDefault="0012749A" w:rsidP="0012749A">
      <w:pPr>
        <w:autoSpaceDE w:val="0"/>
        <w:autoSpaceDN w:val="0"/>
        <w:adjustRightInd w:val="0"/>
        <w:rPr>
          <w:color w:val="231F20"/>
        </w:rPr>
      </w:pPr>
      <w:proofErr w:type="spellStart"/>
      <w:r>
        <w:rPr>
          <w:color w:val="231F20"/>
        </w:rPr>
        <w:t>Kritikos</w:t>
      </w:r>
      <w:proofErr w:type="spellEnd"/>
      <w:r>
        <w:rPr>
          <w:color w:val="231F20"/>
        </w:rPr>
        <w:t xml:space="preserve">, E. P. (2003).  Speech-language pathologists’ beliefs about language assessment of </w:t>
      </w:r>
    </w:p>
    <w:p w:rsidR="0012749A" w:rsidRDefault="0012749A" w:rsidP="0012749A">
      <w:pPr>
        <w:autoSpaceDE w:val="0"/>
        <w:autoSpaceDN w:val="0"/>
        <w:adjustRightInd w:val="0"/>
        <w:rPr>
          <w:color w:val="231F20"/>
        </w:rPr>
      </w:pPr>
      <w:r>
        <w:rPr>
          <w:color w:val="231F20"/>
        </w:rPr>
        <w:tab/>
        <w:t xml:space="preserve">bilingual/bicultural individuals.  </w:t>
      </w:r>
      <w:r w:rsidRPr="006D7BC0">
        <w:rPr>
          <w:i/>
          <w:color w:val="231F20"/>
        </w:rPr>
        <w:t>American Journal of Speech-Language Pathology, 12</w:t>
      </w:r>
      <w:r>
        <w:rPr>
          <w:color w:val="231F20"/>
        </w:rPr>
        <w:t xml:space="preserve">, </w:t>
      </w:r>
    </w:p>
    <w:p w:rsidR="0012749A" w:rsidRDefault="0012749A" w:rsidP="0012749A">
      <w:pPr>
        <w:autoSpaceDE w:val="0"/>
        <w:autoSpaceDN w:val="0"/>
        <w:adjustRightInd w:val="0"/>
        <w:rPr>
          <w:color w:val="231F20"/>
        </w:rPr>
      </w:pPr>
      <w:r>
        <w:rPr>
          <w:color w:val="231F20"/>
        </w:rPr>
        <w:tab/>
        <w:t>73-91.</w:t>
      </w:r>
    </w:p>
    <w:p w:rsidR="0012749A" w:rsidRDefault="0012749A" w:rsidP="0012749A">
      <w:pPr>
        <w:autoSpaceDE w:val="0"/>
        <w:autoSpaceDN w:val="0"/>
        <w:adjustRightInd w:val="0"/>
        <w:rPr>
          <w:color w:val="231F20"/>
        </w:rPr>
      </w:pPr>
      <w:r>
        <w:rPr>
          <w:color w:val="231F20"/>
        </w:rPr>
        <w:t>Roseberry-</w:t>
      </w:r>
      <w:proofErr w:type="spellStart"/>
      <w:r>
        <w:rPr>
          <w:color w:val="231F20"/>
        </w:rPr>
        <w:t>McKibbin</w:t>
      </w:r>
      <w:proofErr w:type="spellEnd"/>
      <w:r>
        <w:rPr>
          <w:color w:val="231F20"/>
        </w:rPr>
        <w:t xml:space="preserve">, C. A., &amp; </w:t>
      </w:r>
      <w:proofErr w:type="spellStart"/>
      <w:r>
        <w:rPr>
          <w:color w:val="231F20"/>
        </w:rPr>
        <w:t>Eicholtz</w:t>
      </w:r>
      <w:proofErr w:type="spellEnd"/>
      <w:r>
        <w:rPr>
          <w:color w:val="231F20"/>
        </w:rPr>
        <w:t xml:space="preserve">, G. E. (1994).  Serving children with limited English </w:t>
      </w:r>
    </w:p>
    <w:p w:rsidR="0012749A" w:rsidRDefault="0012749A" w:rsidP="0012749A">
      <w:pPr>
        <w:autoSpaceDE w:val="0"/>
        <w:autoSpaceDN w:val="0"/>
        <w:adjustRightInd w:val="0"/>
        <w:rPr>
          <w:i/>
          <w:color w:val="231F20"/>
        </w:rPr>
      </w:pPr>
      <w:r>
        <w:rPr>
          <w:color w:val="231F20"/>
        </w:rPr>
        <w:tab/>
        <w:t xml:space="preserve">proficiency in the schools:  A national survey.  </w:t>
      </w:r>
      <w:r w:rsidRPr="006D7BC0">
        <w:rPr>
          <w:i/>
          <w:color w:val="231F20"/>
        </w:rPr>
        <w:t xml:space="preserve">Language, Speech, and Hearing Services </w:t>
      </w:r>
    </w:p>
    <w:p w:rsidR="0012749A" w:rsidRDefault="0012749A" w:rsidP="0012749A">
      <w:pPr>
        <w:autoSpaceDE w:val="0"/>
        <w:autoSpaceDN w:val="0"/>
        <w:adjustRightInd w:val="0"/>
        <w:rPr>
          <w:color w:val="231F20"/>
        </w:rPr>
      </w:pPr>
      <w:r>
        <w:rPr>
          <w:i/>
          <w:color w:val="231F20"/>
        </w:rPr>
        <w:tab/>
      </w:r>
      <w:r w:rsidRPr="006D7BC0">
        <w:rPr>
          <w:i/>
          <w:color w:val="231F20"/>
        </w:rPr>
        <w:t>in Schools, 25</w:t>
      </w:r>
      <w:r>
        <w:rPr>
          <w:color w:val="231F20"/>
        </w:rPr>
        <w:t>, 156-164.</w:t>
      </w:r>
    </w:p>
    <w:p w:rsidR="0012749A" w:rsidRDefault="0012749A" w:rsidP="0012749A">
      <w:pPr>
        <w:autoSpaceDE w:val="0"/>
        <w:autoSpaceDN w:val="0"/>
        <w:adjustRightInd w:val="0"/>
        <w:rPr>
          <w:color w:val="231F20"/>
        </w:rPr>
      </w:pPr>
      <w:proofErr w:type="spellStart"/>
      <w:r>
        <w:rPr>
          <w:color w:val="231F20"/>
        </w:rPr>
        <w:t>Tomblin</w:t>
      </w:r>
      <w:proofErr w:type="spellEnd"/>
      <w:r>
        <w:rPr>
          <w:color w:val="231F20"/>
        </w:rPr>
        <w:t xml:space="preserve">, J. B., Records, N. L., </w:t>
      </w:r>
      <w:proofErr w:type="spellStart"/>
      <w:r>
        <w:rPr>
          <w:color w:val="231F20"/>
        </w:rPr>
        <w:t>Buckwalter</w:t>
      </w:r>
      <w:proofErr w:type="spellEnd"/>
      <w:r>
        <w:rPr>
          <w:color w:val="231F20"/>
        </w:rPr>
        <w:t xml:space="preserve">, P., Zhang, X., Smith, E., &amp; O’Brien, M. (1997).  </w:t>
      </w:r>
    </w:p>
    <w:p w:rsidR="0012749A" w:rsidRDefault="0012749A" w:rsidP="0012749A">
      <w:pPr>
        <w:autoSpaceDE w:val="0"/>
        <w:autoSpaceDN w:val="0"/>
        <w:adjustRightInd w:val="0"/>
        <w:rPr>
          <w:i/>
          <w:color w:val="231F20"/>
        </w:rPr>
      </w:pPr>
      <w:r>
        <w:rPr>
          <w:color w:val="231F20"/>
        </w:rPr>
        <w:tab/>
        <w:t xml:space="preserve">Prevalence of specific language impairment in kindergarten children.  </w:t>
      </w:r>
      <w:r w:rsidRPr="006D7BC0">
        <w:rPr>
          <w:i/>
          <w:color w:val="231F20"/>
        </w:rPr>
        <w:t xml:space="preserve">Journal of Speech, </w:t>
      </w:r>
    </w:p>
    <w:p w:rsidR="0012749A" w:rsidRDefault="0012749A" w:rsidP="0012749A">
      <w:pPr>
        <w:autoSpaceDE w:val="0"/>
        <w:autoSpaceDN w:val="0"/>
        <w:adjustRightInd w:val="0"/>
        <w:rPr>
          <w:color w:val="231F20"/>
        </w:rPr>
      </w:pPr>
      <w:r>
        <w:rPr>
          <w:i/>
          <w:color w:val="231F20"/>
        </w:rPr>
        <w:tab/>
      </w:r>
      <w:r w:rsidRPr="006D7BC0">
        <w:rPr>
          <w:i/>
          <w:color w:val="231F20"/>
        </w:rPr>
        <w:t>Language, and Hearing Research, 40</w:t>
      </w:r>
      <w:r>
        <w:rPr>
          <w:color w:val="231F20"/>
        </w:rPr>
        <w:t>, 1245-1260.</w:t>
      </w:r>
    </w:p>
    <w:p w:rsidR="0012749A" w:rsidRDefault="0012749A" w:rsidP="0012749A">
      <w:pPr>
        <w:autoSpaceDE w:val="0"/>
        <w:autoSpaceDN w:val="0"/>
        <w:adjustRightInd w:val="0"/>
        <w:rPr>
          <w:color w:val="231F20"/>
        </w:rPr>
      </w:pPr>
      <w:r>
        <w:rPr>
          <w:color w:val="231F20"/>
        </w:rPr>
        <w:t xml:space="preserve">Yan, S., &amp; </w:t>
      </w:r>
      <w:proofErr w:type="spellStart"/>
      <w:r>
        <w:rPr>
          <w:color w:val="231F20"/>
        </w:rPr>
        <w:t>Nicoladis</w:t>
      </w:r>
      <w:proofErr w:type="spellEnd"/>
      <w:r>
        <w:rPr>
          <w:color w:val="231F20"/>
        </w:rPr>
        <w:t xml:space="preserve">, E. (2009).  Finding let mot </w:t>
      </w:r>
      <w:proofErr w:type="spellStart"/>
      <w:r>
        <w:rPr>
          <w:color w:val="231F20"/>
        </w:rPr>
        <w:t>juste</w:t>
      </w:r>
      <w:proofErr w:type="spellEnd"/>
      <w:r>
        <w:rPr>
          <w:color w:val="231F20"/>
        </w:rPr>
        <w:t xml:space="preserve">:  Differences between bilingual and </w:t>
      </w:r>
    </w:p>
    <w:p w:rsidR="0012749A" w:rsidRPr="006D7BC0" w:rsidRDefault="0012749A" w:rsidP="0012749A">
      <w:pPr>
        <w:autoSpaceDE w:val="0"/>
        <w:autoSpaceDN w:val="0"/>
        <w:adjustRightInd w:val="0"/>
        <w:rPr>
          <w:i/>
          <w:color w:val="231F20"/>
        </w:rPr>
      </w:pPr>
      <w:r>
        <w:rPr>
          <w:color w:val="231F20"/>
        </w:rPr>
        <w:tab/>
        <w:t xml:space="preserve">monolingual children’s lexical access in comprehension and production.  </w:t>
      </w:r>
      <w:r w:rsidRPr="006D7BC0">
        <w:rPr>
          <w:i/>
          <w:color w:val="231F20"/>
        </w:rPr>
        <w:t xml:space="preserve">Bilingualism:  </w:t>
      </w:r>
    </w:p>
    <w:p w:rsidR="0012749A" w:rsidRDefault="0012749A" w:rsidP="0012749A">
      <w:pPr>
        <w:autoSpaceDE w:val="0"/>
        <w:autoSpaceDN w:val="0"/>
        <w:adjustRightInd w:val="0"/>
        <w:rPr>
          <w:color w:val="231F20"/>
        </w:rPr>
      </w:pPr>
      <w:r w:rsidRPr="006D7BC0">
        <w:rPr>
          <w:i/>
          <w:color w:val="231F20"/>
        </w:rPr>
        <w:tab/>
        <w:t>Language and Cognition, 12</w:t>
      </w:r>
      <w:r>
        <w:rPr>
          <w:color w:val="231F20"/>
        </w:rPr>
        <w:t>, 323-335.</w:t>
      </w:r>
    </w:p>
    <w:p w:rsidR="0012749A" w:rsidRDefault="0012749A"/>
    <w:sectPr w:rsidR="00127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9A"/>
    <w:rsid w:val="0012749A"/>
    <w:rsid w:val="00454851"/>
    <w:rsid w:val="00890743"/>
    <w:rsid w:val="00C3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ddandrewgibson\Dropbox\TNL%20time%201%20time%202\BLI%20Conference%20Tours%20France\repeated%20measures%20kinder%20and%20first%20grad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n-US"/>
              <a:t>English</a:t>
            </a:r>
            <a:r>
              <a:rPr lang="en-US" baseline="0"/>
              <a:t> (L2) narrative performance </a:t>
            </a:r>
          </a:p>
          <a:p>
            <a:pPr algn="ctr">
              <a:defRPr/>
            </a:pPr>
            <a:r>
              <a:rPr lang="en-US" baseline="0"/>
              <a:t>by Spanish-English bilingual children:  </a:t>
            </a:r>
          </a:p>
          <a:p>
            <a:pPr algn="ctr">
              <a:defRPr/>
            </a:pPr>
            <a:r>
              <a:rPr lang="en-US"/>
              <a:t>Modality x Time x LI Status</a:t>
            </a:r>
          </a:p>
        </c:rich>
      </c:tx>
      <c:layout>
        <c:manualLayout>
          <c:xMode val="edge"/>
          <c:yMode val="edge"/>
          <c:x val="0.28196802313754932"/>
          <c:y val="9.187187129257212E-3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Sheet1!$I$910:$J$910</c:f>
              <c:strCache>
                <c:ptCount val="1"/>
                <c:pt idx="0">
                  <c:v>LI Receptive</c:v>
                </c:pt>
              </c:strCache>
            </c:strRef>
          </c:tx>
          <c:spPr>
            <a:ln>
              <a:solidFill>
                <a:srgbClr val="C00000"/>
              </a:solidFill>
              <a:prstDash val="sysDot"/>
            </a:ln>
          </c:spPr>
          <c:marker>
            <c:symbol val="circle"/>
            <c:size val="7"/>
            <c:spPr>
              <a:solidFill>
                <a:srgbClr val="C00000"/>
              </a:solidFill>
              <a:ln>
                <a:noFill/>
              </a:ln>
            </c:spPr>
          </c:marker>
          <c:cat>
            <c:strRef>
              <c:f>Sheet1!$K$909:$L$909</c:f>
              <c:strCache>
                <c:ptCount val="2"/>
                <c:pt idx="0">
                  <c:v>Kindergarten</c:v>
                </c:pt>
                <c:pt idx="1">
                  <c:v>First Grade</c:v>
                </c:pt>
              </c:strCache>
            </c:strRef>
          </c:cat>
          <c:val>
            <c:numRef>
              <c:f>Sheet1!$K$910:$L$910</c:f>
              <c:numCache>
                <c:formatCode>###0.000</c:formatCode>
                <c:ptCount val="2"/>
                <c:pt idx="0">
                  <c:v>3.8</c:v>
                </c:pt>
                <c:pt idx="1">
                  <c:v>4.45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Sheet1!$I$911:$J$911</c:f>
              <c:strCache>
                <c:ptCount val="1"/>
                <c:pt idx="0">
                  <c:v>LI Expressive</c:v>
                </c:pt>
              </c:strCache>
            </c:strRef>
          </c:tx>
          <c:spPr>
            <a:ln>
              <a:prstDash val="sysDot"/>
            </a:ln>
          </c:spPr>
          <c:cat>
            <c:strRef>
              <c:f>Sheet1!$K$909:$L$909</c:f>
              <c:strCache>
                <c:ptCount val="2"/>
                <c:pt idx="0">
                  <c:v>Kindergarten</c:v>
                </c:pt>
                <c:pt idx="1">
                  <c:v>First Grade</c:v>
                </c:pt>
              </c:strCache>
            </c:strRef>
          </c:cat>
          <c:val>
            <c:numRef>
              <c:f>Sheet1!$K$911:$L$911</c:f>
              <c:numCache>
                <c:formatCode>###0.000</c:formatCode>
                <c:ptCount val="2"/>
                <c:pt idx="0">
                  <c:v>2.35</c:v>
                </c:pt>
                <c:pt idx="1">
                  <c:v>4.8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Sheet1!$I$912:$J$912</c:f>
              <c:strCache>
                <c:ptCount val="1"/>
                <c:pt idx="0">
                  <c:v>TD Receptive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circle"/>
            <c:size val="7"/>
            <c:spPr>
              <a:solidFill>
                <a:schemeClr val="accent1"/>
              </a:solidFill>
              <a:ln>
                <a:noFill/>
              </a:ln>
            </c:spPr>
          </c:marker>
          <c:cat>
            <c:strRef>
              <c:f>Sheet1!$K$909:$L$909</c:f>
              <c:strCache>
                <c:ptCount val="2"/>
                <c:pt idx="0">
                  <c:v>Kindergarten</c:v>
                </c:pt>
                <c:pt idx="1">
                  <c:v>First Grade</c:v>
                </c:pt>
              </c:strCache>
            </c:strRef>
          </c:cat>
          <c:val>
            <c:numRef>
              <c:f>Sheet1!$K$912:$L$912</c:f>
              <c:numCache>
                <c:formatCode>###0.000</c:formatCode>
                <c:ptCount val="2"/>
                <c:pt idx="0">
                  <c:v>6.45</c:v>
                </c:pt>
                <c:pt idx="1">
                  <c:v>9.2000000000000011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Sheet1!$I$913:$J$913</c:f>
              <c:strCache>
                <c:ptCount val="1"/>
                <c:pt idx="0">
                  <c:v>  TD Expressive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square"/>
            <c:size val="7"/>
            <c:spPr>
              <a:solidFill>
                <a:schemeClr val="accent1"/>
              </a:solidFill>
              <a:ln>
                <a:noFill/>
              </a:ln>
            </c:spPr>
          </c:marker>
          <c:cat>
            <c:strRef>
              <c:f>Sheet1!$K$909:$L$909</c:f>
              <c:strCache>
                <c:ptCount val="2"/>
                <c:pt idx="0">
                  <c:v>Kindergarten</c:v>
                </c:pt>
                <c:pt idx="1">
                  <c:v>First Grade</c:v>
                </c:pt>
              </c:strCache>
            </c:strRef>
          </c:cat>
          <c:val>
            <c:numRef>
              <c:f>Sheet1!$K$913:$L$913</c:f>
              <c:numCache>
                <c:formatCode>###0.000</c:formatCode>
                <c:ptCount val="2"/>
                <c:pt idx="0">
                  <c:v>6.05</c:v>
                </c:pt>
                <c:pt idx="1">
                  <c:v>8.4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7739648"/>
        <c:axId val="225867392"/>
      </c:lineChart>
      <c:catAx>
        <c:axId val="2277396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 b="1"/>
            </a:pPr>
            <a:endParaRPr lang="en-US"/>
          </a:p>
        </c:txPr>
        <c:crossAx val="225867392"/>
        <c:crosses val="autoZero"/>
        <c:auto val="1"/>
        <c:lblAlgn val="ctr"/>
        <c:lblOffset val="100"/>
        <c:noMultiLvlLbl val="0"/>
      </c:catAx>
      <c:valAx>
        <c:axId val="225867392"/>
        <c:scaling>
          <c:orientation val="minMax"/>
          <c:max val="1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Standard scores</a:t>
                </a:r>
              </a:p>
            </c:rich>
          </c:tx>
          <c:overlay val="0"/>
        </c:title>
        <c:numFmt formatCode="#,##0" sourceLinked="0"/>
        <c:majorTickMark val="none"/>
        <c:minorTickMark val="none"/>
        <c:tickLblPos val="nextTo"/>
        <c:crossAx val="227739648"/>
        <c:crosses val="autoZero"/>
        <c:crossBetween val="between"/>
        <c:majorUnit val="1"/>
        <c:minorUnit val="0.2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Andrew Gibson</dc:creator>
  <cp:lastModifiedBy>Todd Andrew Gibson</cp:lastModifiedBy>
  <cp:revision>3</cp:revision>
  <dcterms:created xsi:type="dcterms:W3CDTF">2015-02-02T20:49:00Z</dcterms:created>
  <dcterms:modified xsi:type="dcterms:W3CDTF">2015-02-02T22:19:00Z</dcterms:modified>
</cp:coreProperties>
</file>